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6F47C" w14:textId="77777777" w:rsidR="005E026E" w:rsidRPr="005E026E" w:rsidRDefault="005E026E" w:rsidP="005E026E">
      <w:pPr>
        <w:keepNext/>
        <w:keepLines/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pl-PL"/>
        </w:rPr>
      </w:pPr>
      <w:bookmarkStart w:id="0" w:name="_Hlk33180450"/>
      <w:r w:rsidRPr="005E026E"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pl-PL"/>
        </w:rPr>
        <w:t>D-04.01.01</w:t>
      </w:r>
      <w:r w:rsidRPr="005E026E">
        <w:rPr>
          <w:rFonts w:ascii="Times New Roman" w:eastAsia="Times New Roman" w:hAnsi="Times New Roman" w:cs="Times New Roman"/>
          <w:b/>
          <w:caps/>
          <w:kern w:val="28"/>
          <w:sz w:val="28"/>
          <w:szCs w:val="28"/>
          <w:lang w:eastAsia="pl-PL"/>
        </w:rPr>
        <w:tab/>
        <w:t>PROFILOWANIE I ZAGĘSZCZENIE PODŁOŻA</w:t>
      </w:r>
    </w:p>
    <w:bookmarkEnd w:id="0"/>
    <w:p w14:paraId="01FE20AD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pl-PL"/>
        </w:rPr>
      </w:pPr>
    </w:p>
    <w:p w14:paraId="0D384858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1.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 xml:space="preserve">WSTĘP </w:t>
      </w:r>
    </w:p>
    <w:p w14:paraId="433C13FD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1.1. 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Przedmiot ST</w:t>
      </w:r>
    </w:p>
    <w:p w14:paraId="72D7AE55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Przedmiotem niniejszej Specyfikacji Technicznej (ST) są wymagania dotyczące wykonania i odbioru robót związanych z profilowaniem oraz zagęszczeniem podłoża</w:t>
      </w:r>
      <w:r w:rsidRPr="005E026E">
        <w:rPr>
          <w:rFonts w:ascii="Times New Roman" w:eastAsia="Times New Roman" w:hAnsi="Times New Roman" w:cs="Times New Roman"/>
          <w:lang w:eastAsia="pl-PL"/>
        </w:rPr>
        <w:t>.</w:t>
      </w:r>
    </w:p>
    <w:p w14:paraId="5747F734" w14:textId="77777777" w:rsidR="005E026E" w:rsidRPr="005E026E" w:rsidRDefault="005E026E" w:rsidP="005E026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1.2. 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Zakres robót objętych ST</w:t>
      </w:r>
    </w:p>
    <w:p w14:paraId="7EE35756" w14:textId="1F14354F" w:rsidR="005E026E" w:rsidRPr="005E026E" w:rsidRDefault="005E026E" w:rsidP="005E02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Ustalenia zawarte w niniejszej ST dotyczą prowadzenia i odbioru robót związanych z profilowaniem oraz zagęszczeniem podłoża w ramach zadania:</w:t>
      </w:r>
      <w:r w:rsidR="00BB370F" w:rsidRPr="00BB370F">
        <w:t xml:space="preserve"> </w:t>
      </w:r>
      <w:r w:rsidR="00BB370F" w:rsidRPr="00BB370F">
        <w:rPr>
          <w:rFonts w:ascii="Times New Roman" w:eastAsia="Times New Roman" w:hAnsi="Times New Roman" w:cs="Times New Roman"/>
          <w:lang w:eastAsia="pl-PL"/>
        </w:rPr>
        <w:t>„Remont chodnika w ciągu drogi wojewódzkiej nr 212 w m. Lipnica”</w:t>
      </w:r>
      <w:r w:rsidR="00BB370F">
        <w:rPr>
          <w:rFonts w:ascii="Times New Roman" w:eastAsia="Times New Roman" w:hAnsi="Times New Roman" w:cs="Times New Roman"/>
          <w:lang w:eastAsia="pl-PL"/>
        </w:rPr>
        <w:t>.</w:t>
      </w:r>
    </w:p>
    <w:p w14:paraId="729A6916" w14:textId="77777777" w:rsidR="005E026E" w:rsidRPr="005E026E" w:rsidRDefault="005E026E" w:rsidP="005E026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1.3.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Określenia podstawowe</w:t>
      </w:r>
    </w:p>
    <w:p w14:paraId="28BE7218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Stosowane określenia podstawowe są zgodne z obowiązującymi, odpowiednimi polskimi normami oraz z definicjami podanymi w Specyfikacji Technicznej (ST) D-00.00.00 „Wymagania ogólne” punkt 1.3.</w:t>
      </w:r>
    </w:p>
    <w:p w14:paraId="2D2BDB5C" w14:textId="77777777" w:rsidR="005E026E" w:rsidRPr="005E026E" w:rsidRDefault="005E026E" w:rsidP="005E026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1.4. 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 xml:space="preserve">Ogólne wymagania dotyczące robót </w:t>
      </w:r>
    </w:p>
    <w:p w14:paraId="068B2DB2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Ogólne wymagania dotyczące robót podano w ST D-00.00.00 „Wymagania ogólne” punkt 1.4.</w:t>
      </w:r>
    </w:p>
    <w:p w14:paraId="2464ADE7" w14:textId="77777777" w:rsidR="005E026E" w:rsidRPr="005E026E" w:rsidRDefault="005E026E" w:rsidP="005E026E">
      <w:pPr>
        <w:keepNext/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2.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MATERIAŁY</w:t>
      </w:r>
    </w:p>
    <w:p w14:paraId="45703F26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Ogólne wymagania dotyczące materiałów podano w ST D-00.00.00 „Wymagania ogólne” punkt 2. </w:t>
      </w:r>
    </w:p>
    <w:p w14:paraId="7E337289" w14:textId="77777777" w:rsidR="005E026E" w:rsidRPr="005E026E" w:rsidRDefault="005E026E" w:rsidP="005E026E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2.1.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Woda</w:t>
      </w:r>
    </w:p>
    <w:p w14:paraId="16BDFAE4" w14:textId="77777777" w:rsidR="005E026E" w:rsidRPr="005E026E" w:rsidRDefault="005E026E" w:rsidP="005E026E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Należy stosować wodę odpowiadającą wymaganiom normy PN-B-32250:1988. Bez badań laboratoryjnych można stosować wodociągową wodę pitną. </w:t>
      </w:r>
    </w:p>
    <w:p w14:paraId="114EBFE4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3.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SPRZĘT</w:t>
      </w:r>
    </w:p>
    <w:p w14:paraId="1524571C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Ogólne wymagania dotyczące sprzętu podano w ST D-00.00.00 „Wymagania ogólne” punkt 3. </w:t>
      </w:r>
    </w:p>
    <w:p w14:paraId="2E2E9960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CBEC74C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Do wykonania robót należy użyć:</w:t>
      </w:r>
    </w:p>
    <w:p w14:paraId="4DF09D21" w14:textId="77777777" w:rsidR="005E026E" w:rsidRPr="005E026E" w:rsidRDefault="005E026E" w:rsidP="005E026E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spycharek lub równiarek z ukośnie ustawionymi lemieszami, Inżynier może dopuścić wykonanie koryta i profilowanie podłoża z zastosowaniem spycharki z lemieszem ustawionym prostopadle do kierunku jazdy, </w:t>
      </w:r>
    </w:p>
    <w:p w14:paraId="22C8D1C2" w14:textId="77777777" w:rsidR="005E026E" w:rsidRPr="005E026E" w:rsidRDefault="005E026E" w:rsidP="005E026E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koparek z czerpakami profilowymi (przy wykonywaniu wąskich koryt),</w:t>
      </w:r>
    </w:p>
    <w:p w14:paraId="0D23BFFE" w14:textId="77777777" w:rsidR="005E026E" w:rsidRPr="005E026E" w:rsidRDefault="005E026E" w:rsidP="005E026E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przewoźnych zbiorników na wodę do zwilżania mieszanki, wyposażonych w urządzenia do równomiernego dozowania wody, </w:t>
      </w:r>
    </w:p>
    <w:p w14:paraId="2F8935D0" w14:textId="77777777" w:rsidR="005E026E" w:rsidRPr="005E026E" w:rsidRDefault="005E026E" w:rsidP="005E026E">
      <w:pPr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walców ogumionych, stalowych lub wibracyjnych i płyt wibracyjnych do zagęszczania. </w:t>
      </w:r>
    </w:p>
    <w:p w14:paraId="3DE22B6E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4.           TRANSPORT</w:t>
      </w:r>
    </w:p>
    <w:p w14:paraId="28A8DDA6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Ogólne wymagania dotyczące transportu podano w ST D-00.00.00 „Wymagania ogólne” punkt 4.</w:t>
      </w:r>
    </w:p>
    <w:p w14:paraId="714BF61A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Wodę można transportować dowolnymi środkami transportowymi.</w:t>
      </w:r>
    </w:p>
    <w:p w14:paraId="0A2D4A9F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5.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WYKONANIE ROBÓT</w:t>
      </w:r>
    </w:p>
    <w:p w14:paraId="06945CF4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Ogólne wymagania dotyczące wykonania robót podano w ST D-00.00.00 „Wymagania ogólne” punkt 5. </w:t>
      </w:r>
    </w:p>
    <w:p w14:paraId="04BEB00C" w14:textId="77777777" w:rsidR="005E026E" w:rsidRPr="005E026E" w:rsidRDefault="005E026E" w:rsidP="005E026E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 xml:space="preserve">5.1. 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ab/>
        <w:t xml:space="preserve">Przygotowanie robót </w:t>
      </w:r>
    </w:p>
    <w:p w14:paraId="227460B4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Wykonawca powinien przystąpić do profilowania i zagęszczania podłoża bezpośrednio przed rozpoczęciem robót związanych z wykonaniem warstw nawierzchni. Wcześniejsze przystąpienie do profilowania i zagęszczenia podłoża jest możliwe za zgodą Inżyniera w korzystnych warunkach atmosferycznych.</w:t>
      </w:r>
    </w:p>
    <w:p w14:paraId="65AE9089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Po wyprofilowanym i zagęszczonym podłożu nie może odbywać się ruch budowlany, niezwiązany bezpośrednio z wykonaniem pierwszej warstwy nawierzchni.</w:t>
      </w:r>
    </w:p>
    <w:p w14:paraId="74EBCBFB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FD51D3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 xml:space="preserve">5.2. 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ab/>
        <w:t>Profilowanie podłoża</w:t>
      </w:r>
    </w:p>
    <w:p w14:paraId="5538C605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Przed przystąpieniem do profilowania podłoże powinno być oczyszczone ze wszelkich zanieczyszczeń.</w:t>
      </w:r>
    </w:p>
    <w:p w14:paraId="7E119AC2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Po oczyszczeniu powierzchni podłoża należy sprawdzić, czy istniejące rzędne terenu umożliwiają uzyskanie po profilowaniu zaprojektowanych rzędnych podłoża. 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5E026E">
          <w:rPr>
            <w:rFonts w:ascii="Times New Roman" w:eastAsia="Times New Roman" w:hAnsi="Times New Roman" w:cs="Times New Roman"/>
            <w:lang w:eastAsia="pl-PL"/>
          </w:rPr>
          <w:t>5 cm</w:t>
        </w:r>
      </w:smartTag>
      <w:r w:rsidRPr="005E026E">
        <w:rPr>
          <w:rFonts w:ascii="Times New Roman" w:eastAsia="Times New Roman" w:hAnsi="Times New Roman" w:cs="Times New Roman"/>
          <w:lang w:eastAsia="pl-PL"/>
        </w:rPr>
        <w:t xml:space="preserve"> wyższe niż projektowane rzędne podłoża.</w:t>
      </w:r>
    </w:p>
    <w:p w14:paraId="046B08BB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lastRenderedPageBreak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uzyskania wartości wskaźnika zagęszczenia podanego w tablicy 1.</w:t>
      </w:r>
    </w:p>
    <w:p w14:paraId="193A91FA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Paliki lub szpilki należy ustawić w osi drogi i w rzędach równoległych do osi drogi lub w inny sposób zaakceptowany przez Inżyniera. Rozmieszczenie palików lub szpilek powinno umożliwiać naciągnięcie sznurków lub linek do wytyczenia robót w odstępach nie większych niż co </w:t>
      </w:r>
      <w:smartTag w:uri="urn:schemas-microsoft-com:office:smarttags" w:element="metricconverter">
        <w:smartTagPr>
          <w:attr w:name="ProductID" w:val="10 m"/>
        </w:smartTagPr>
        <w:r w:rsidRPr="005E026E">
          <w:rPr>
            <w:rFonts w:ascii="Times New Roman" w:eastAsia="Times New Roman" w:hAnsi="Times New Roman" w:cs="Times New Roman"/>
            <w:lang w:eastAsia="pl-PL"/>
          </w:rPr>
          <w:t>10 m</w:t>
        </w:r>
      </w:smartTag>
      <w:r w:rsidRPr="005E026E">
        <w:rPr>
          <w:rFonts w:ascii="Times New Roman" w:eastAsia="Times New Roman" w:hAnsi="Times New Roman" w:cs="Times New Roman"/>
          <w:lang w:eastAsia="pl-PL"/>
        </w:rPr>
        <w:t>.</w:t>
      </w:r>
    </w:p>
    <w:p w14:paraId="76FEE574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Grunt odspojony w czasie wykonywania koryta powinien być wykorzystany zgodnie z ustaleniami dokumentacji projektowej i ST, w miarę możliwości powinien on być wbudowany w nasyp, jeżeli jest to niemożliwe należy odwieźć odspojony grunt na odkład.</w:t>
      </w:r>
    </w:p>
    <w:p w14:paraId="2BB597D7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Bezpośrednio po profilowaniu podłoża należy przystąpić do jego zagęszczenia. </w:t>
      </w:r>
    </w:p>
    <w:p w14:paraId="708EE0F4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458E647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 xml:space="preserve">5.3         Zagęszczanie </w:t>
      </w:r>
      <w:r w:rsidR="00E531B6">
        <w:rPr>
          <w:rFonts w:ascii="Times New Roman" w:eastAsia="Times New Roman" w:hAnsi="Times New Roman" w:cs="Times New Roman"/>
          <w:b/>
          <w:lang w:eastAsia="pl-PL"/>
        </w:rPr>
        <w:t xml:space="preserve">i nośność 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>podłoża</w:t>
      </w:r>
      <w:r w:rsidR="00E531B6">
        <w:rPr>
          <w:rFonts w:ascii="Times New Roman" w:eastAsia="Times New Roman" w:hAnsi="Times New Roman" w:cs="Times New Roman"/>
          <w:b/>
          <w:lang w:eastAsia="pl-PL"/>
        </w:rPr>
        <w:t xml:space="preserve"> gruntowego</w:t>
      </w:r>
    </w:p>
    <w:p w14:paraId="51871286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Zagęszczenie podłoża należy kontynuować do osiągnięcia wskaźnika zagęszczenia nie mniejszego od podanego w tablicy 1. Wskaźnik zagęszczenia należy określić w oparciu o normalną próbę Proctora. </w:t>
      </w:r>
    </w:p>
    <w:p w14:paraId="45DE8BA0" w14:textId="77777777" w:rsidR="005E026E" w:rsidRPr="005E026E" w:rsidRDefault="005E026E" w:rsidP="005E026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Tablica 1. Minimalny wskaźnik zagęszczenia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677"/>
        <w:gridCol w:w="2977"/>
      </w:tblGrid>
      <w:tr w:rsidR="005E026E" w:rsidRPr="005E026E" w14:paraId="12C8BD60" w14:textId="77777777" w:rsidTr="005358E2">
        <w:trPr>
          <w:cantSplit/>
          <w:jc w:val="center"/>
        </w:trPr>
        <w:tc>
          <w:tcPr>
            <w:tcW w:w="496" w:type="dxa"/>
            <w:tcBorders>
              <w:top w:val="double" w:sz="4" w:space="0" w:color="auto"/>
              <w:bottom w:val="double" w:sz="4" w:space="0" w:color="auto"/>
            </w:tcBorders>
          </w:tcPr>
          <w:p w14:paraId="059F5704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4677" w:type="dxa"/>
            <w:tcBorders>
              <w:top w:val="double" w:sz="4" w:space="0" w:color="auto"/>
              <w:bottom w:val="double" w:sz="4" w:space="0" w:color="auto"/>
            </w:tcBorders>
          </w:tcPr>
          <w:p w14:paraId="4CD9D86B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Strefa korpusu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14:paraId="5C5061E7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Minimalna wartość Is</w:t>
            </w:r>
          </w:p>
        </w:tc>
      </w:tr>
      <w:tr w:rsidR="005E026E" w:rsidRPr="005E026E" w14:paraId="5A6AAE97" w14:textId="77777777" w:rsidTr="005358E2">
        <w:trPr>
          <w:jc w:val="center"/>
        </w:trPr>
        <w:tc>
          <w:tcPr>
            <w:tcW w:w="496" w:type="dxa"/>
            <w:tcBorders>
              <w:top w:val="nil"/>
            </w:tcBorders>
          </w:tcPr>
          <w:p w14:paraId="3A15D947" w14:textId="77777777" w:rsidR="005E026E" w:rsidRPr="005E026E" w:rsidRDefault="005E026E" w:rsidP="005E026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4677" w:type="dxa"/>
            <w:tcBorders>
              <w:top w:val="nil"/>
            </w:tcBorders>
          </w:tcPr>
          <w:p w14:paraId="733D449E" w14:textId="77777777" w:rsidR="005E026E" w:rsidRPr="005E026E" w:rsidRDefault="005E026E" w:rsidP="005E026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Górna warstwy o grubości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20 cm</w:t>
              </w:r>
            </w:smartTag>
          </w:p>
        </w:tc>
        <w:tc>
          <w:tcPr>
            <w:tcW w:w="2977" w:type="dxa"/>
            <w:tcBorders>
              <w:top w:val="nil"/>
            </w:tcBorders>
          </w:tcPr>
          <w:p w14:paraId="107E5AB6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1,00</w:t>
            </w:r>
          </w:p>
        </w:tc>
      </w:tr>
      <w:tr w:rsidR="005E026E" w:rsidRPr="005E026E" w14:paraId="716AE4FB" w14:textId="77777777" w:rsidTr="005358E2">
        <w:trPr>
          <w:jc w:val="center"/>
        </w:trPr>
        <w:tc>
          <w:tcPr>
            <w:tcW w:w="496" w:type="dxa"/>
          </w:tcPr>
          <w:p w14:paraId="49B8B2B8" w14:textId="77777777" w:rsidR="005E026E" w:rsidRPr="005E026E" w:rsidRDefault="005E026E" w:rsidP="005E026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4677" w:type="dxa"/>
          </w:tcPr>
          <w:p w14:paraId="4DAD0AD8" w14:textId="77777777" w:rsidR="005E026E" w:rsidRPr="005E026E" w:rsidRDefault="005E026E" w:rsidP="005E026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Warstwa na głębokości od 20 do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50 cm</w:t>
              </w:r>
            </w:smartTag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285DDAF" w14:textId="77777777" w:rsidR="005E026E" w:rsidRPr="005E026E" w:rsidRDefault="005E026E" w:rsidP="005E026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od powierzchni podłoża</w:t>
            </w:r>
          </w:p>
        </w:tc>
        <w:tc>
          <w:tcPr>
            <w:tcW w:w="2977" w:type="dxa"/>
          </w:tcPr>
          <w:p w14:paraId="6496348D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0,97</w:t>
            </w:r>
          </w:p>
        </w:tc>
      </w:tr>
    </w:tbl>
    <w:p w14:paraId="2CDF6746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1189A619" w14:textId="77777777" w:rsidR="005E026E" w:rsidRPr="005E026E" w:rsidRDefault="005E026E" w:rsidP="005E026E">
      <w:pPr>
        <w:tabs>
          <w:tab w:val="left" w:pos="2515"/>
          <w:tab w:val="left" w:pos="5586"/>
        </w:tabs>
        <w:spacing w:before="120"/>
        <w:rPr>
          <w:rFonts w:ascii="Times New Roman" w:hAnsi="Times New Roman" w:cs="Times New Roman"/>
          <w:spacing w:val="-3"/>
        </w:rPr>
      </w:pPr>
      <w:r w:rsidRPr="005E026E">
        <w:rPr>
          <w:rFonts w:ascii="Times New Roman" w:hAnsi="Times New Roman" w:cs="Times New Roman"/>
          <w:spacing w:val="-3"/>
        </w:rPr>
        <w:t>Jako zastępcze kryterium oceny wymaganego zagęszczenia gruntów, dla których trudne jest pomierzenie wskaźnika zagęszczenia, przyjmuje się w</w:t>
      </w:r>
      <w:r w:rsidR="00983FF6">
        <w:rPr>
          <w:rFonts w:ascii="Times New Roman" w:hAnsi="Times New Roman" w:cs="Times New Roman"/>
          <w:spacing w:val="-3"/>
        </w:rPr>
        <w:t>artość wskaźnik odkształcenia I</w:t>
      </w:r>
      <w:r w:rsidR="00730B45">
        <w:rPr>
          <w:rFonts w:ascii="Times New Roman" w:hAnsi="Times New Roman" w:cs="Times New Roman"/>
          <w:spacing w:val="-3"/>
          <w:vertAlign w:val="subscript"/>
        </w:rPr>
        <w:t>o</w:t>
      </w:r>
      <w:r w:rsidRPr="005E026E">
        <w:rPr>
          <w:rFonts w:ascii="Times New Roman" w:hAnsi="Times New Roman" w:cs="Times New Roman"/>
          <w:spacing w:val="-3"/>
        </w:rPr>
        <w:t>, wyznaczonego wg PN-S-02205 ( Załącznik B ),</w:t>
      </w:r>
      <w:r w:rsidR="00A56F18">
        <w:rPr>
          <w:rFonts w:ascii="Times New Roman" w:hAnsi="Times New Roman" w:cs="Times New Roman"/>
          <w:spacing w:val="-3"/>
        </w:rPr>
        <w:t xml:space="preserve"> </w:t>
      </w:r>
      <w:r w:rsidRPr="005E026E">
        <w:rPr>
          <w:rFonts w:ascii="Times New Roman" w:hAnsi="Times New Roman" w:cs="Times New Roman"/>
          <w:spacing w:val="-3"/>
        </w:rPr>
        <w:t xml:space="preserve">równego stosunkowi modułów odkształcenia wtórnego E2 do pierwotnego E1 o wartości tego stosunku </w:t>
      </w:r>
      <w:r w:rsidR="00C73356">
        <w:rPr>
          <w:rFonts w:ascii="Times New Roman" w:hAnsi="Times New Roman" w:cs="Times New Roman"/>
          <w:spacing w:val="-3"/>
        </w:rPr>
        <w:t xml:space="preserve">≤ </w:t>
      </w:r>
      <w:r w:rsidRPr="005E026E">
        <w:rPr>
          <w:rFonts w:ascii="Times New Roman" w:hAnsi="Times New Roman" w:cs="Times New Roman"/>
          <w:spacing w:val="-3"/>
        </w:rPr>
        <w:t>2.2</w:t>
      </w:r>
    </w:p>
    <w:p w14:paraId="68B5D35D" w14:textId="77777777" w:rsidR="005E026E" w:rsidRPr="005E026E" w:rsidRDefault="005E026E" w:rsidP="005E026E">
      <w:pPr>
        <w:tabs>
          <w:tab w:val="left" w:pos="2515"/>
          <w:tab w:val="left" w:pos="5586"/>
        </w:tabs>
        <w:spacing w:before="120"/>
        <w:rPr>
          <w:rFonts w:ascii="Times New Roman" w:hAnsi="Times New Roman" w:cs="Times New Roman"/>
          <w:spacing w:val="-3"/>
        </w:rPr>
      </w:pPr>
      <w:r w:rsidRPr="005E026E">
        <w:rPr>
          <w:rFonts w:ascii="Times New Roman" w:hAnsi="Times New Roman" w:cs="Times New Roman"/>
          <w:spacing w:val="-3"/>
        </w:rPr>
        <w:t xml:space="preserve">Minimalne wartości wtórnego modułu odkształcenia na poziomie </w:t>
      </w:r>
      <w:r>
        <w:rPr>
          <w:rFonts w:ascii="Times New Roman" w:hAnsi="Times New Roman" w:cs="Times New Roman"/>
          <w:spacing w:val="-3"/>
        </w:rPr>
        <w:t>spodu konstrukcji nawierzchni (koryta</w:t>
      </w:r>
      <w:r w:rsidRPr="005E026E">
        <w:rPr>
          <w:rFonts w:ascii="Times New Roman" w:hAnsi="Times New Roman" w:cs="Times New Roman"/>
          <w:spacing w:val="-3"/>
        </w:rPr>
        <w:t xml:space="preserve">) powinny wynosić: </w:t>
      </w:r>
    </w:p>
    <w:p w14:paraId="227A7F2A" w14:textId="77777777" w:rsidR="005E026E" w:rsidRPr="005E026E" w:rsidRDefault="005E026E" w:rsidP="005E026E">
      <w:pPr>
        <w:tabs>
          <w:tab w:val="left" w:pos="2515"/>
          <w:tab w:val="left" w:pos="5586"/>
        </w:tabs>
        <w:rPr>
          <w:rFonts w:ascii="Times New Roman" w:hAnsi="Times New Roman" w:cs="Times New Roman"/>
          <w:spacing w:val="-3"/>
        </w:rPr>
      </w:pPr>
      <w:r w:rsidRPr="005E026E">
        <w:rPr>
          <w:rFonts w:ascii="Times New Roman" w:hAnsi="Times New Roman" w:cs="Times New Roman"/>
          <w:spacing w:val="-3"/>
        </w:rPr>
        <w:t>- dla ruchu KR5</w:t>
      </w:r>
      <m:oMath>
        <m:r>
          <w:rPr>
            <w:rFonts w:ascii="Cambria Math" w:hAnsi="Cambria Math" w:cs="Times New Roman"/>
          </w:rPr>
          <m:t>÷</m:t>
        </m:r>
      </m:oMath>
      <w:r w:rsidRPr="005E026E">
        <w:rPr>
          <w:rFonts w:ascii="Times New Roman" w:hAnsi="Times New Roman" w:cs="Times New Roman"/>
          <w:spacing w:val="-3"/>
        </w:rPr>
        <w:t>KR7, E2≥120 MPa</w:t>
      </w:r>
    </w:p>
    <w:p w14:paraId="506D22B5" w14:textId="77777777" w:rsidR="005E026E" w:rsidRPr="005E026E" w:rsidRDefault="005E026E" w:rsidP="005E026E">
      <w:pPr>
        <w:tabs>
          <w:tab w:val="left" w:pos="2515"/>
          <w:tab w:val="left" w:pos="5586"/>
        </w:tabs>
        <w:rPr>
          <w:rFonts w:ascii="Times New Roman" w:hAnsi="Times New Roman" w:cs="Times New Roman"/>
          <w:spacing w:val="-3"/>
        </w:rPr>
      </w:pPr>
      <w:r w:rsidRPr="005E026E">
        <w:rPr>
          <w:rFonts w:ascii="Times New Roman" w:hAnsi="Times New Roman" w:cs="Times New Roman"/>
          <w:spacing w:val="-3"/>
        </w:rPr>
        <w:t>- dla ruchu KR3</w:t>
      </w:r>
      <m:oMath>
        <m:r>
          <w:rPr>
            <w:rFonts w:ascii="Cambria Math" w:hAnsi="Cambria Math" w:cs="Times New Roman"/>
          </w:rPr>
          <m:t>÷</m:t>
        </m:r>
      </m:oMath>
      <w:r w:rsidRPr="005E026E">
        <w:rPr>
          <w:rFonts w:ascii="Times New Roman" w:hAnsi="Times New Roman" w:cs="Times New Roman"/>
          <w:spacing w:val="-3"/>
        </w:rPr>
        <w:t>KR4, E2≥100 MPa</w:t>
      </w:r>
    </w:p>
    <w:p w14:paraId="05D9594B" w14:textId="77777777" w:rsidR="005E026E" w:rsidRPr="005E026E" w:rsidRDefault="005E026E" w:rsidP="005E026E">
      <w:pPr>
        <w:tabs>
          <w:tab w:val="left" w:pos="2515"/>
        </w:tabs>
        <w:rPr>
          <w:rFonts w:ascii="Times New Roman" w:hAnsi="Times New Roman" w:cs="Times New Roman"/>
          <w:spacing w:val="-3"/>
        </w:rPr>
      </w:pPr>
      <w:r w:rsidRPr="005E026E">
        <w:rPr>
          <w:rFonts w:ascii="Times New Roman" w:hAnsi="Times New Roman" w:cs="Times New Roman"/>
          <w:spacing w:val="-3"/>
        </w:rPr>
        <w:t>- dla ruchu KR1</w:t>
      </w:r>
      <m:oMath>
        <m:r>
          <w:rPr>
            <w:rFonts w:ascii="Cambria Math" w:hAnsi="Cambria Math" w:cs="Times New Roman"/>
          </w:rPr>
          <m:t>÷</m:t>
        </m:r>
      </m:oMath>
      <w:r w:rsidRPr="005E026E">
        <w:rPr>
          <w:rFonts w:ascii="Times New Roman" w:hAnsi="Times New Roman" w:cs="Times New Roman"/>
          <w:spacing w:val="-3"/>
        </w:rPr>
        <w:t>KR2, E2≥80 MPa</w:t>
      </w:r>
    </w:p>
    <w:p w14:paraId="7E43360F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Wilgotność gruntu podłoża podczas zagęszczania powinna być równa wilgotności optymalnej z tolerancją -2%, +</w:t>
      </w:r>
      <w:r w:rsidR="00E531B6">
        <w:rPr>
          <w:rFonts w:ascii="Times New Roman" w:eastAsia="Times New Roman" w:hAnsi="Times New Roman" w:cs="Times New Roman"/>
          <w:lang w:eastAsia="pl-PL"/>
        </w:rPr>
        <w:t>2</w:t>
      </w:r>
      <w:r w:rsidRPr="005E026E">
        <w:rPr>
          <w:rFonts w:ascii="Times New Roman" w:eastAsia="Times New Roman" w:hAnsi="Times New Roman" w:cs="Times New Roman"/>
          <w:lang w:eastAsia="pl-PL"/>
        </w:rPr>
        <w:t>%.</w:t>
      </w:r>
    </w:p>
    <w:p w14:paraId="737DD6E8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DAA6D0E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 xml:space="preserve">5.4. 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ab/>
        <w:t>Utrzymanie koryta oraz wyprofilowanego i zagęszczonego podłoża</w:t>
      </w:r>
    </w:p>
    <w:p w14:paraId="4E2685C8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Podłoże po wyprofilowaniu i zagęszczeniu powinno być utrzymane w dobrym stanie.</w:t>
      </w:r>
    </w:p>
    <w:p w14:paraId="36E71F60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Jeżeli po wykonaniu robót związanych z profilowaniem i zagęszczeniem podłoża nastąpi przerwa w robotach i wykonawca nie przystąpi natychmiast do układania warstw nawierzchni, to powinien on zabezpieczyć podłoże przed nadmiernym zawilgoceniem. </w:t>
      </w:r>
    </w:p>
    <w:p w14:paraId="5BAB77EC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Jeżeli wyprofilowane i zagęszczone podłoże uległo zawilgoceniu, to do układania kolejnej warstwy można przystąpić po jego naturalnym osuszeniu.</w:t>
      </w:r>
    </w:p>
    <w:p w14:paraId="5C246E9A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Po osuszeniu podłoża Inżynier oceni jego stan i ewentualnie zaleci wykonanie niezbędnych napraw. Jeżeli zawilgocenie nastąpiło wskutek zaniedbania Wykonawcy to naprawę wykona on na własny koszt.</w:t>
      </w:r>
    </w:p>
    <w:p w14:paraId="7CB3E9ED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1D221D17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40C2B5BA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08C26728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24FC210E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778CE069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8A238A" w14:textId="77777777" w:rsid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8247AA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79041933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>6.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ab/>
        <w:t>KONTROLA JAKOŚCI ROBÓT</w:t>
      </w:r>
    </w:p>
    <w:p w14:paraId="2D47AE91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Ogólne wymagania dotyczące kontroli jakości robót podano w ST D-00.00.00 „Wymagania ogólne” punkt 6. </w:t>
      </w:r>
    </w:p>
    <w:p w14:paraId="3200C007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D38DBB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 xml:space="preserve">6.1. 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ab/>
        <w:t>Badania w czasie do robót</w:t>
      </w:r>
    </w:p>
    <w:p w14:paraId="0BF119D3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7873CB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Częstotliwość oraz zakres badań i pomiarów w czasie trwania robót podano w tablicy 2. </w:t>
      </w:r>
    </w:p>
    <w:p w14:paraId="16FEF8CF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9BCA4E" w14:textId="77777777" w:rsidR="005E026E" w:rsidRPr="005E026E" w:rsidRDefault="005E026E" w:rsidP="005E026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Tablica 2. Częstotliwość oraz zakres badań i pomiarów w czasie trwania robót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3260"/>
        <w:gridCol w:w="1701"/>
      </w:tblGrid>
      <w:tr w:rsidR="005E026E" w:rsidRPr="005E026E" w14:paraId="497CFA1E" w14:textId="77777777" w:rsidTr="005358E2">
        <w:trPr>
          <w:cantSplit/>
          <w:jc w:val="center"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</w:tcPr>
          <w:p w14:paraId="49ACF983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</w:tcBorders>
          </w:tcPr>
          <w:p w14:paraId="0BECF501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Badania</w:t>
            </w:r>
          </w:p>
        </w:tc>
        <w:tc>
          <w:tcPr>
            <w:tcW w:w="3260" w:type="dxa"/>
            <w:tcBorders>
              <w:top w:val="double" w:sz="4" w:space="0" w:color="auto"/>
              <w:bottom w:val="double" w:sz="4" w:space="0" w:color="auto"/>
            </w:tcBorders>
          </w:tcPr>
          <w:p w14:paraId="1C7FD5BF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Częstotliwość badań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6F37C492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Tolerancje</w:t>
            </w:r>
          </w:p>
        </w:tc>
      </w:tr>
      <w:tr w:rsidR="005E026E" w:rsidRPr="005E026E" w14:paraId="15EC6E25" w14:textId="77777777" w:rsidTr="005358E2">
        <w:trPr>
          <w:cantSplit/>
          <w:jc w:val="center"/>
        </w:trPr>
        <w:tc>
          <w:tcPr>
            <w:tcW w:w="567" w:type="dxa"/>
            <w:tcBorders>
              <w:top w:val="nil"/>
            </w:tcBorders>
          </w:tcPr>
          <w:p w14:paraId="5A942C16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2977" w:type="dxa"/>
            <w:tcBorders>
              <w:top w:val="nil"/>
            </w:tcBorders>
          </w:tcPr>
          <w:p w14:paraId="016C2402" w14:textId="77777777" w:rsidR="005E026E" w:rsidRPr="005E026E" w:rsidRDefault="005E026E" w:rsidP="005E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Szerokość </w:t>
            </w:r>
          </w:p>
        </w:tc>
        <w:tc>
          <w:tcPr>
            <w:tcW w:w="3260" w:type="dxa"/>
            <w:tcBorders>
              <w:top w:val="nil"/>
            </w:tcBorders>
          </w:tcPr>
          <w:p w14:paraId="2CAE164D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100 m</w:t>
              </w:r>
            </w:smartTag>
          </w:p>
        </w:tc>
        <w:tc>
          <w:tcPr>
            <w:tcW w:w="1701" w:type="dxa"/>
            <w:tcBorders>
              <w:top w:val="nil"/>
            </w:tcBorders>
          </w:tcPr>
          <w:p w14:paraId="2D9A5CF2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+10, </w:t>
            </w:r>
            <w:smartTag w:uri="urn:schemas-microsoft-com:office:smarttags" w:element="metricconverter">
              <w:smartTagPr>
                <w:attr w:name="ProductID" w:val="-5 c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-5 cm</w:t>
              </w:r>
            </w:smartTag>
          </w:p>
        </w:tc>
      </w:tr>
      <w:tr w:rsidR="005E026E" w:rsidRPr="005E026E" w14:paraId="497D5998" w14:textId="77777777" w:rsidTr="005358E2">
        <w:trPr>
          <w:cantSplit/>
          <w:jc w:val="center"/>
        </w:trPr>
        <w:tc>
          <w:tcPr>
            <w:tcW w:w="567" w:type="dxa"/>
          </w:tcPr>
          <w:p w14:paraId="2A4A4271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2977" w:type="dxa"/>
          </w:tcPr>
          <w:p w14:paraId="7DE3C5B2" w14:textId="77777777" w:rsidR="005E026E" w:rsidRPr="005E026E" w:rsidRDefault="005E026E" w:rsidP="005E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Równość podłużna </w:t>
            </w:r>
          </w:p>
        </w:tc>
        <w:tc>
          <w:tcPr>
            <w:tcW w:w="3260" w:type="dxa"/>
          </w:tcPr>
          <w:p w14:paraId="262441A7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20 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20 m</w:t>
              </w:r>
            </w:smartTag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. na każdym pasie ruchu</w:t>
            </w:r>
          </w:p>
        </w:tc>
        <w:tc>
          <w:tcPr>
            <w:tcW w:w="1701" w:type="dxa"/>
          </w:tcPr>
          <w:p w14:paraId="57F768D3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&lt;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20 mm</w:t>
              </w:r>
            </w:smartTag>
          </w:p>
        </w:tc>
      </w:tr>
      <w:tr w:rsidR="005E026E" w:rsidRPr="005E026E" w14:paraId="7322BF4F" w14:textId="77777777" w:rsidTr="005358E2">
        <w:trPr>
          <w:cantSplit/>
          <w:jc w:val="center"/>
        </w:trPr>
        <w:tc>
          <w:tcPr>
            <w:tcW w:w="567" w:type="dxa"/>
          </w:tcPr>
          <w:p w14:paraId="68E2E81E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2977" w:type="dxa"/>
          </w:tcPr>
          <w:p w14:paraId="63EFC72C" w14:textId="77777777" w:rsidR="005E026E" w:rsidRPr="005E026E" w:rsidRDefault="005E026E" w:rsidP="005E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Równość poprzeczne</w:t>
            </w:r>
          </w:p>
        </w:tc>
        <w:tc>
          <w:tcPr>
            <w:tcW w:w="3260" w:type="dxa"/>
            <w:vMerge w:val="restart"/>
          </w:tcPr>
          <w:p w14:paraId="00B8E1FE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100 m</w:t>
              </w:r>
            </w:smartTag>
          </w:p>
        </w:tc>
        <w:tc>
          <w:tcPr>
            <w:tcW w:w="1701" w:type="dxa"/>
          </w:tcPr>
          <w:p w14:paraId="4FC27C2E" w14:textId="77777777" w:rsidR="005E026E" w:rsidRPr="005E026E" w:rsidRDefault="005E026E" w:rsidP="005E026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&lt;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20 mm</w:t>
              </w:r>
            </w:smartTag>
          </w:p>
        </w:tc>
      </w:tr>
      <w:tr w:rsidR="005E026E" w:rsidRPr="005E026E" w14:paraId="07A8D93D" w14:textId="77777777" w:rsidTr="005358E2">
        <w:trPr>
          <w:cantSplit/>
          <w:jc w:val="center"/>
        </w:trPr>
        <w:tc>
          <w:tcPr>
            <w:tcW w:w="567" w:type="dxa"/>
          </w:tcPr>
          <w:p w14:paraId="171233C3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2977" w:type="dxa"/>
          </w:tcPr>
          <w:p w14:paraId="30586F45" w14:textId="77777777" w:rsidR="005E026E" w:rsidRPr="005E026E" w:rsidRDefault="005E026E" w:rsidP="005E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Spadki poprzeczne</w:t>
            </w:r>
          </w:p>
        </w:tc>
        <w:tc>
          <w:tcPr>
            <w:tcW w:w="3260" w:type="dxa"/>
            <w:vMerge/>
          </w:tcPr>
          <w:p w14:paraId="4BB18315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14:paraId="73FE8E5F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± 0,5%</w:t>
            </w:r>
          </w:p>
        </w:tc>
      </w:tr>
      <w:tr w:rsidR="005E026E" w:rsidRPr="005E026E" w14:paraId="2356ABCE" w14:textId="77777777" w:rsidTr="005358E2">
        <w:trPr>
          <w:cantSplit/>
          <w:jc w:val="center"/>
        </w:trPr>
        <w:tc>
          <w:tcPr>
            <w:tcW w:w="567" w:type="dxa"/>
          </w:tcPr>
          <w:p w14:paraId="73A29D0C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2977" w:type="dxa"/>
          </w:tcPr>
          <w:p w14:paraId="406FD5C9" w14:textId="77777777" w:rsidR="005E026E" w:rsidRPr="005E026E" w:rsidRDefault="005E026E" w:rsidP="005E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Rzędne wysokościowe</w:t>
            </w:r>
          </w:p>
        </w:tc>
        <w:tc>
          <w:tcPr>
            <w:tcW w:w="3260" w:type="dxa"/>
            <w:vMerge w:val="restart"/>
          </w:tcPr>
          <w:p w14:paraId="1D6966C0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Co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100 m</w:t>
              </w:r>
            </w:smartTag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 w osi jezdni i na jej krawędziach </w:t>
            </w:r>
          </w:p>
        </w:tc>
        <w:tc>
          <w:tcPr>
            <w:tcW w:w="1701" w:type="dxa"/>
          </w:tcPr>
          <w:p w14:paraId="6F978859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+1, </w:t>
            </w:r>
            <w:smartTag w:uri="urn:schemas-microsoft-com:office:smarttags" w:element="metricconverter">
              <w:smartTagPr>
                <w:attr w:name="ProductID" w:val="-2 c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-2 cm</w:t>
              </w:r>
            </w:smartTag>
          </w:p>
        </w:tc>
      </w:tr>
      <w:tr w:rsidR="005E026E" w:rsidRPr="005E026E" w14:paraId="657876BE" w14:textId="77777777" w:rsidTr="005358E2">
        <w:trPr>
          <w:cantSplit/>
          <w:jc w:val="center"/>
        </w:trPr>
        <w:tc>
          <w:tcPr>
            <w:tcW w:w="567" w:type="dxa"/>
          </w:tcPr>
          <w:p w14:paraId="4F09BFD9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2977" w:type="dxa"/>
          </w:tcPr>
          <w:p w14:paraId="4411C2A5" w14:textId="77777777" w:rsidR="005E026E" w:rsidRPr="005E026E" w:rsidRDefault="005E026E" w:rsidP="005E026E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Ukształtowanie osi w planie</w:t>
            </w:r>
          </w:p>
        </w:tc>
        <w:tc>
          <w:tcPr>
            <w:tcW w:w="3260" w:type="dxa"/>
            <w:vMerge/>
          </w:tcPr>
          <w:p w14:paraId="78651379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</w:tcPr>
          <w:p w14:paraId="58A8F980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5E026E">
                <w:rPr>
                  <w:rFonts w:ascii="Times New Roman" w:eastAsia="Times New Roman" w:hAnsi="Times New Roman" w:cs="Times New Roman"/>
                  <w:lang w:eastAsia="pl-PL"/>
                </w:rPr>
                <w:t>5 cm</w:t>
              </w:r>
            </w:smartTag>
          </w:p>
        </w:tc>
      </w:tr>
      <w:tr w:rsidR="005E026E" w:rsidRPr="005E026E" w14:paraId="2EEEE2C8" w14:textId="77777777" w:rsidTr="005358E2">
        <w:trPr>
          <w:cantSplit/>
          <w:jc w:val="center"/>
        </w:trPr>
        <w:tc>
          <w:tcPr>
            <w:tcW w:w="567" w:type="dxa"/>
          </w:tcPr>
          <w:p w14:paraId="59704FA8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2977" w:type="dxa"/>
          </w:tcPr>
          <w:p w14:paraId="44ACCACE" w14:textId="77777777" w:rsidR="005E026E" w:rsidRPr="005E026E" w:rsidRDefault="005E026E" w:rsidP="005E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Zagęszczenie</w:t>
            </w:r>
          </w:p>
        </w:tc>
        <w:tc>
          <w:tcPr>
            <w:tcW w:w="3260" w:type="dxa"/>
          </w:tcPr>
          <w:p w14:paraId="33ED1475" w14:textId="77777777" w:rsidR="005E026E" w:rsidRPr="005E026E" w:rsidRDefault="005E026E" w:rsidP="00C7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 xml:space="preserve">2 razy na działce roboczej ale nie rzadziej niż co </w:t>
            </w:r>
            <w:r w:rsidR="00C73356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5E026E">
              <w:rPr>
                <w:rFonts w:ascii="Times New Roman" w:eastAsia="Times New Roman" w:hAnsi="Times New Roman" w:cs="Times New Roman"/>
                <w:lang w:eastAsia="pl-PL"/>
              </w:rPr>
              <w:t>00m</w:t>
            </w:r>
            <w:r w:rsidRPr="005E026E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2</w:t>
            </w:r>
          </w:p>
        </w:tc>
        <w:tc>
          <w:tcPr>
            <w:tcW w:w="1701" w:type="dxa"/>
          </w:tcPr>
          <w:p w14:paraId="29369B41" w14:textId="77777777" w:rsidR="005E026E" w:rsidRPr="005E026E" w:rsidRDefault="005E026E" w:rsidP="005E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D7EE827" w14:textId="77777777" w:rsidR="005E026E" w:rsidRPr="005E026E" w:rsidRDefault="005E026E" w:rsidP="005E02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Równość podłoża należy sprawdzać łatą 4-metrową i klinem. </w:t>
      </w:r>
    </w:p>
    <w:p w14:paraId="289CDD50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Zagęszczenie podłoża należy sprawdzać co </w:t>
      </w:r>
      <w:r w:rsidR="00C73356">
        <w:rPr>
          <w:rFonts w:ascii="Times New Roman" w:eastAsia="Times New Roman" w:hAnsi="Times New Roman" w:cs="Times New Roman"/>
          <w:color w:val="000000"/>
          <w:lang w:eastAsia="pl-PL"/>
        </w:rPr>
        <w:t>5</w:t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00 m</w:t>
      </w:r>
      <w:r w:rsidRPr="005E026E">
        <w:rPr>
          <w:rFonts w:ascii="Times New Roman" w:eastAsia="Times New Roman" w:hAnsi="Times New Roman" w:cs="Times New Roman"/>
          <w:color w:val="000000"/>
          <w:vertAlign w:val="superscript"/>
          <w:lang w:eastAsia="pl-PL"/>
        </w:rPr>
        <w:t>2</w:t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. Mogą być stosowane następujące metody:</w:t>
      </w:r>
    </w:p>
    <w:p w14:paraId="24E301EF" w14:textId="77777777" w:rsidR="005E026E" w:rsidRPr="005E026E" w:rsidRDefault="005E026E" w:rsidP="005E026E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wolunometru, </w:t>
      </w:r>
    </w:p>
    <w:p w14:paraId="33CDE652" w14:textId="77777777" w:rsidR="005E026E" w:rsidRPr="005E026E" w:rsidRDefault="005E026E" w:rsidP="005E026E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obciążeń płytowych, </w:t>
      </w:r>
    </w:p>
    <w:p w14:paraId="7D09AFFA" w14:textId="77777777" w:rsidR="005E026E" w:rsidRPr="005E026E" w:rsidRDefault="005E026E" w:rsidP="005E026E">
      <w:pPr>
        <w:numPr>
          <w:ilvl w:val="0"/>
          <w:numId w:val="1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wciskanego cylindra. </w:t>
      </w:r>
    </w:p>
    <w:p w14:paraId="77B10201" w14:textId="77777777" w:rsidR="005E026E" w:rsidRPr="005E026E" w:rsidRDefault="005E026E" w:rsidP="005E026E">
      <w:p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CA6C7B0" w14:textId="77777777" w:rsidR="005E026E" w:rsidRPr="005E026E" w:rsidRDefault="005E026E" w:rsidP="005E026E">
      <w:pPr>
        <w:tabs>
          <w:tab w:val="left" w:pos="36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Co dziesiątemu pomiarowi metodą płytowych obciążeń dynamicznych i metodą izotopową, dla celów kalibracji, powinno towarzyszyć porównawcze badanie metodą piasku kalibrowanego, wolunometru wodnego lub metodą obciążeń płytowych. W przypadku wystąpienia w podłożu grubego kruszywa nie dopuszcza się stosowania metody wciskanego cylindra.</w:t>
      </w:r>
    </w:p>
    <w:p w14:paraId="0547975D" w14:textId="77777777" w:rsidR="005E026E" w:rsidRPr="005E026E" w:rsidRDefault="005E026E" w:rsidP="005E026E">
      <w:p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268677E5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 xml:space="preserve">6.2. 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ab/>
        <w:t>Postępowanie z odcinkami wadliwie wykonanymi</w:t>
      </w:r>
    </w:p>
    <w:p w14:paraId="0FB24D02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Wszystkie odcinki niewłaściwie wykonane należy spulchnić na głębokość co najmniej </w:t>
      </w:r>
      <w:smartTag w:uri="urn:schemas-microsoft-com:office:smarttags" w:element="metricconverter">
        <w:smartTagPr>
          <w:attr w:name="ProductID" w:val="10 cm"/>
        </w:smartTagPr>
        <w:r w:rsidRPr="005E026E">
          <w:rPr>
            <w:rFonts w:ascii="Times New Roman" w:eastAsia="Times New Roman" w:hAnsi="Times New Roman" w:cs="Times New Roman"/>
            <w:lang w:eastAsia="pl-PL"/>
          </w:rPr>
          <w:t>10 cm</w:t>
        </w:r>
      </w:smartTag>
      <w:r w:rsidRPr="005E026E">
        <w:rPr>
          <w:rFonts w:ascii="Times New Roman" w:eastAsia="Times New Roman" w:hAnsi="Times New Roman" w:cs="Times New Roman"/>
          <w:lang w:eastAsia="pl-PL"/>
        </w:rPr>
        <w:t xml:space="preserve">, usunąć lub dodać nowego materiału i ponownie zagęścić. W przypadku niemożności odpowiedniego zagęszczenia wbudowany materiał należy wymienić. </w:t>
      </w:r>
    </w:p>
    <w:p w14:paraId="4640FDC6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465469AC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7.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OBMIAR ROBÓT</w:t>
      </w:r>
    </w:p>
    <w:p w14:paraId="2F66D609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Ogólne wymagania dotyczące obmiaru robót podano w ST D-00.00.00 „Wymagania ogólne” punkt 7. </w:t>
      </w:r>
    </w:p>
    <w:p w14:paraId="172DD5FD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476FFA9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Jednostką obmiaru jest </w:t>
      </w:r>
      <w:smartTag w:uri="urn:schemas-microsoft-com:office:smarttags" w:element="metricconverter">
        <w:smartTagPr>
          <w:attr w:name="ProductID" w:val="1 m2"/>
        </w:smartTagPr>
        <w:r w:rsidRPr="005E026E">
          <w:rPr>
            <w:rFonts w:ascii="Times New Roman" w:eastAsia="Times New Roman" w:hAnsi="Times New Roman" w:cs="Times New Roman"/>
            <w:color w:val="000000"/>
            <w:lang w:eastAsia="pl-PL"/>
          </w:rPr>
          <w:t>1 m</w:t>
        </w:r>
        <w:r w:rsidRPr="005E026E">
          <w:rPr>
            <w:rFonts w:ascii="Times New Roman" w:eastAsia="Times New Roman" w:hAnsi="Times New Roman" w:cs="Times New Roman"/>
            <w:color w:val="000000"/>
            <w:vertAlign w:val="superscript"/>
            <w:lang w:eastAsia="pl-PL"/>
          </w:rPr>
          <w:t>2</w:t>
        </w:r>
      </w:smartTag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 (jeden metr kwadratowy) wykonanego i odebranego podłoża.</w:t>
      </w:r>
    </w:p>
    <w:p w14:paraId="743ACB6F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E9B67C0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5E026E">
        <w:rPr>
          <w:rFonts w:ascii="Times New Roman" w:eastAsia="Times New Roman" w:hAnsi="Times New Roman" w:cs="Times New Roman"/>
          <w:b/>
          <w:lang w:eastAsia="pl-PL"/>
        </w:rPr>
        <w:t>8.</w:t>
      </w:r>
      <w:r w:rsidRPr="005E026E">
        <w:rPr>
          <w:rFonts w:ascii="Times New Roman" w:eastAsia="Times New Roman" w:hAnsi="Times New Roman" w:cs="Times New Roman"/>
          <w:b/>
          <w:lang w:eastAsia="pl-PL"/>
        </w:rPr>
        <w:tab/>
        <w:t>ODBIÓR ROBÓT</w:t>
      </w:r>
    </w:p>
    <w:p w14:paraId="7AE7DF21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Ogólne wymagania dotyczące odbioru robót podano w ST D-00.00.00 „Wymagania ogólne” punkt 8. </w:t>
      </w:r>
    </w:p>
    <w:p w14:paraId="2C67DF8A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F77000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Roboty uznaje się za zgodne z Dokumentacją Projektową, ST i wymaganiami Inżyniera, jeżeli wszystkie pomiary i badania z zachowaniem tolerancji podanych w punkcie 6 dały pozytywne wyniki. </w:t>
      </w:r>
    </w:p>
    <w:p w14:paraId="5A9072AF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9.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PODSTAWA PŁATNOŚCI</w:t>
      </w:r>
    </w:p>
    <w:p w14:paraId="728C96BC" w14:textId="77777777" w:rsidR="005E026E" w:rsidRPr="005E026E" w:rsidRDefault="005E026E" w:rsidP="005E02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Ogólne wymagania dotyczące podstawy płatności podano w ST D-00.00.00 „Wymagania ogólne” punkt 9. </w:t>
      </w:r>
    </w:p>
    <w:p w14:paraId="167FB178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BC81625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Cena za </w:t>
      </w:r>
      <w:smartTag w:uri="urn:schemas-microsoft-com:office:smarttags" w:element="metricconverter">
        <w:smartTagPr>
          <w:attr w:name="ProductID" w:val="1 m2"/>
        </w:smartTagPr>
        <w:r w:rsidRPr="005E026E">
          <w:rPr>
            <w:rFonts w:ascii="Times New Roman" w:eastAsia="Times New Roman" w:hAnsi="Times New Roman" w:cs="Times New Roman"/>
            <w:color w:val="000000"/>
            <w:lang w:eastAsia="pl-PL"/>
          </w:rPr>
          <w:t>1 m</w:t>
        </w:r>
        <w:r w:rsidRPr="005E026E">
          <w:rPr>
            <w:rFonts w:ascii="Times New Roman" w:eastAsia="Times New Roman" w:hAnsi="Times New Roman" w:cs="Times New Roman"/>
            <w:color w:val="000000"/>
            <w:vertAlign w:val="superscript"/>
            <w:lang w:eastAsia="pl-PL"/>
          </w:rPr>
          <w:t>2</w:t>
        </w:r>
      </w:smartTag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 wyprofilowanej i zagęszczonego podłoża obejmuje: </w:t>
      </w:r>
    </w:p>
    <w:p w14:paraId="06066336" w14:textId="77777777" w:rsidR="005E026E" w:rsidRPr="005E026E" w:rsidRDefault="005E026E" w:rsidP="005E026E">
      <w:pPr>
        <w:numPr>
          <w:ilvl w:val="0"/>
          <w:numId w:val="2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prace pomiarowe i roboty przygotowawcze,</w:t>
      </w:r>
    </w:p>
    <w:p w14:paraId="3E18B2F5" w14:textId="77777777" w:rsidR="005E026E" w:rsidRPr="005E026E" w:rsidRDefault="005E026E" w:rsidP="005E026E">
      <w:pPr>
        <w:numPr>
          <w:ilvl w:val="0"/>
          <w:numId w:val="2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dowiezienie wody,</w:t>
      </w:r>
    </w:p>
    <w:p w14:paraId="54963E83" w14:textId="77777777" w:rsidR="005E026E" w:rsidRPr="005E026E" w:rsidRDefault="005E026E" w:rsidP="005E026E">
      <w:pPr>
        <w:numPr>
          <w:ilvl w:val="0"/>
          <w:numId w:val="2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załadunek nadmiaru gruntu i odwiezienie go na odkład lub nasyp,</w:t>
      </w:r>
    </w:p>
    <w:p w14:paraId="22E91BCE" w14:textId="77777777" w:rsidR="005E026E" w:rsidRPr="005E026E" w:rsidRDefault="005E026E" w:rsidP="005E026E">
      <w:pPr>
        <w:numPr>
          <w:ilvl w:val="0"/>
          <w:numId w:val="2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profilowanie,</w:t>
      </w:r>
    </w:p>
    <w:p w14:paraId="63DC7D1C" w14:textId="77777777" w:rsidR="005E026E" w:rsidRPr="005E026E" w:rsidRDefault="005E026E" w:rsidP="005E026E">
      <w:pPr>
        <w:numPr>
          <w:ilvl w:val="0"/>
          <w:numId w:val="2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lastRenderedPageBreak/>
        <w:t>zagęszczenia,</w:t>
      </w:r>
    </w:p>
    <w:p w14:paraId="1CB87BC2" w14:textId="77777777" w:rsidR="005E026E" w:rsidRPr="005E026E" w:rsidRDefault="005E026E" w:rsidP="005E026E">
      <w:pPr>
        <w:numPr>
          <w:ilvl w:val="0"/>
          <w:numId w:val="2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>utrzymanie zagęszczonego podłoża,</w:t>
      </w:r>
    </w:p>
    <w:p w14:paraId="6C707A1F" w14:textId="77777777" w:rsidR="005E026E" w:rsidRPr="005E026E" w:rsidRDefault="005E026E" w:rsidP="005E026E">
      <w:pPr>
        <w:numPr>
          <w:ilvl w:val="0"/>
          <w:numId w:val="2"/>
        </w:numPr>
        <w:tabs>
          <w:tab w:val="left" w:pos="36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5E026E">
        <w:rPr>
          <w:rFonts w:ascii="Times New Roman" w:eastAsia="Times New Roman" w:hAnsi="Times New Roman" w:cs="Times New Roman"/>
          <w:lang w:eastAsia="pl-PL"/>
        </w:rPr>
        <w:t xml:space="preserve">przeprowadzenie pomiarów i badań laboratoryjnych określonych w ST, </w:t>
      </w:r>
    </w:p>
    <w:p w14:paraId="3209DD64" w14:textId="77777777" w:rsidR="005E026E" w:rsidRPr="005E026E" w:rsidRDefault="005E026E" w:rsidP="005E026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>10.</w:t>
      </w:r>
      <w:r w:rsidRPr="005E026E">
        <w:rPr>
          <w:rFonts w:ascii="Times New Roman" w:eastAsia="Times New Roman" w:hAnsi="Times New Roman" w:cs="Times New Roman"/>
          <w:b/>
          <w:color w:val="000000"/>
          <w:lang w:eastAsia="pl-PL"/>
        </w:rPr>
        <w:tab/>
        <w:t>NORMY ZWIĄZANE</w:t>
      </w:r>
    </w:p>
    <w:p w14:paraId="3F7F0EFC" w14:textId="77777777" w:rsidR="005E026E" w:rsidRPr="005E026E" w:rsidRDefault="009E0FCF" w:rsidP="005E026E">
      <w:pPr>
        <w:numPr>
          <w:ilvl w:val="0"/>
          <w:numId w:val="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PN-B-04481</w:t>
      </w:r>
      <w:r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             </w:t>
      </w:r>
      <w:r w:rsidR="005E026E" w:rsidRPr="005E026E">
        <w:rPr>
          <w:rFonts w:ascii="Times New Roman" w:eastAsia="Times New Roman" w:hAnsi="Times New Roman" w:cs="Times New Roman"/>
          <w:color w:val="000000"/>
          <w:lang w:eastAsia="pl-PL"/>
        </w:rPr>
        <w:t>Grunty budowlane. Badania próbek gruntu.</w:t>
      </w:r>
    </w:p>
    <w:p w14:paraId="086EA23B" w14:textId="77777777" w:rsidR="005E026E" w:rsidRPr="005E026E" w:rsidRDefault="005E026E" w:rsidP="005E026E">
      <w:pPr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PN-B-06714-17</w:t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Kruszywa mineralne. Badania Oznaczanie wilgotności. </w:t>
      </w:r>
    </w:p>
    <w:p w14:paraId="17526C41" w14:textId="77777777" w:rsidR="005E026E" w:rsidRPr="005E026E" w:rsidRDefault="005E026E" w:rsidP="005E026E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Piasek. </w:t>
      </w:r>
    </w:p>
    <w:p w14:paraId="500FC3A4" w14:textId="77777777" w:rsidR="005E026E" w:rsidRPr="005E026E" w:rsidRDefault="005E026E" w:rsidP="005E026E">
      <w:pPr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BN-64/8931-02</w:t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ab/>
        <w:t>Drogi samochodowe. Oznaczanie modułu odkształcenia nawierzchni</w:t>
      </w:r>
      <w:r w:rsidR="009E0FCF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="009E0FCF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="009E0FCF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="009E0FCF"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             </w:t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 xml:space="preserve">podatnych i podłoża przez obciążenie płytą. </w:t>
      </w:r>
    </w:p>
    <w:p w14:paraId="07D1561B" w14:textId="77777777" w:rsidR="005E026E" w:rsidRPr="005E026E" w:rsidRDefault="005E026E" w:rsidP="005E026E">
      <w:pPr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BN-68/8931-04</w:t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Drogi samochodowe. Pomiar równości nawierzchni planografem i łatą. </w:t>
      </w:r>
    </w:p>
    <w:p w14:paraId="04E0F007" w14:textId="77777777" w:rsidR="005E026E" w:rsidRPr="005E026E" w:rsidRDefault="005E026E" w:rsidP="005E026E">
      <w:pPr>
        <w:numPr>
          <w:ilvl w:val="0"/>
          <w:numId w:val="4"/>
        </w:numPr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lang w:eastAsia="pl-PL"/>
        </w:rPr>
      </w:pP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>BN-77/8931-12</w:t>
      </w:r>
      <w:r w:rsidRPr="005E026E">
        <w:rPr>
          <w:rFonts w:ascii="Times New Roman" w:eastAsia="Times New Roman" w:hAnsi="Times New Roman" w:cs="Times New Roman"/>
          <w:color w:val="000000"/>
          <w:lang w:eastAsia="pl-PL"/>
        </w:rPr>
        <w:tab/>
        <w:t xml:space="preserve">Oznaczanie wskaźnika zagęszczenia gruntu. </w:t>
      </w:r>
    </w:p>
    <w:p w14:paraId="4464E215" w14:textId="77777777" w:rsidR="005C5B05" w:rsidRDefault="005C5B05"/>
    <w:sectPr w:rsidR="005C5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445E5EC0"/>
    <w:lvl w:ilvl="0">
      <w:numFmt w:val="decimal"/>
      <w:lvlText w:val="*"/>
      <w:lvlJc w:val="left"/>
    </w:lvl>
  </w:abstractNum>
  <w:abstractNum w:abstractNumId="1" w15:restartNumberingAfterBreak="0">
    <w:nsid w:val="10D26D0D"/>
    <w:multiLevelType w:val="singleLevel"/>
    <w:tmpl w:val="ADD68A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70340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524828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" w16cid:durableId="802498823">
    <w:abstractNumId w:val="1"/>
  </w:num>
  <w:num w:numId="4" w16cid:durableId="29283159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6E"/>
    <w:rsid w:val="00245577"/>
    <w:rsid w:val="005C5B05"/>
    <w:rsid w:val="005E026E"/>
    <w:rsid w:val="00730B45"/>
    <w:rsid w:val="00983FF6"/>
    <w:rsid w:val="009E0FCF"/>
    <w:rsid w:val="00A56F18"/>
    <w:rsid w:val="00BB370F"/>
    <w:rsid w:val="00C73356"/>
    <w:rsid w:val="00D8405B"/>
    <w:rsid w:val="00E5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568E0F"/>
  <w15:chartTrackingRefBased/>
  <w15:docId w15:val="{A2A93315-3F3D-4DA6-A648-812205DF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E02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1226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Trzciński</dc:creator>
  <cp:keywords/>
  <dc:description/>
  <cp:lastModifiedBy>Sławomir Zariczniak</cp:lastModifiedBy>
  <cp:revision>5</cp:revision>
  <cp:lastPrinted>2024-05-23T07:21:00Z</cp:lastPrinted>
  <dcterms:created xsi:type="dcterms:W3CDTF">2020-12-10T06:32:00Z</dcterms:created>
  <dcterms:modified xsi:type="dcterms:W3CDTF">2024-05-23T07:22:00Z</dcterms:modified>
</cp:coreProperties>
</file>